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61" w:rsidRDefault="00D41461" w:rsidP="00D41461">
      <w:pPr>
        <w:spacing w:after="0" w:line="240" w:lineRule="auto"/>
        <w:jc w:val="center"/>
        <w:rPr>
          <w:b/>
        </w:rPr>
      </w:pPr>
    </w:p>
    <w:p w:rsidR="00D41461" w:rsidRPr="00D41461" w:rsidRDefault="00D41461" w:rsidP="00D4146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41461">
        <w:rPr>
          <w:b/>
        </w:rPr>
        <w:t>OFICIO Nº 007511</w:t>
      </w:r>
    </w:p>
    <w:p w:rsidR="00D41461" w:rsidRPr="00D41461" w:rsidRDefault="00D41461" w:rsidP="00D41461">
      <w:pPr>
        <w:spacing w:after="0" w:line="240" w:lineRule="auto"/>
        <w:jc w:val="center"/>
        <w:rPr>
          <w:b/>
        </w:rPr>
      </w:pPr>
      <w:r w:rsidRPr="00D41461">
        <w:rPr>
          <w:b/>
        </w:rPr>
        <w:t>10-03-2015</w:t>
      </w:r>
    </w:p>
    <w:p w:rsidR="00D41461" w:rsidRPr="00D41461" w:rsidRDefault="00D41461" w:rsidP="00D41461">
      <w:pPr>
        <w:spacing w:after="0" w:line="240" w:lineRule="auto"/>
        <w:jc w:val="center"/>
        <w:rPr>
          <w:b/>
        </w:rPr>
      </w:pPr>
      <w:r w:rsidRPr="00D41461">
        <w:rPr>
          <w:b/>
        </w:rPr>
        <w:t>DIAN</w:t>
      </w:r>
    </w:p>
    <w:p w:rsidR="00D41461" w:rsidRPr="00D41461" w:rsidRDefault="00D41461" w:rsidP="00D41461">
      <w:pPr>
        <w:spacing w:after="0" w:line="240" w:lineRule="auto"/>
        <w:jc w:val="center"/>
        <w:rPr>
          <w:b/>
        </w:rPr>
      </w:pP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>Subdirección de Gestión Normativa y Doctrina</w:t>
      </w:r>
    </w:p>
    <w:p w:rsidR="00D41461" w:rsidRDefault="00D41461" w:rsidP="00D41461">
      <w:pPr>
        <w:spacing w:after="0" w:line="240" w:lineRule="auto"/>
        <w:jc w:val="both"/>
      </w:pPr>
      <w:r>
        <w:t>Bogotá D.C.</w:t>
      </w:r>
    </w:p>
    <w:p w:rsidR="00D41461" w:rsidRDefault="00D41461" w:rsidP="00D41461">
      <w:pPr>
        <w:spacing w:after="0" w:line="240" w:lineRule="auto"/>
        <w:jc w:val="both"/>
      </w:pPr>
      <w:r>
        <w:t>100208221- 000351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>Ref.: Radicado No. 0429 del 4 de diciembre de 2014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>Cordial saludo Dr. Lisandro.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>Mediante el radicado de la referencia formula una serie de preguntas las cuales se resolverán cada una a su turno, así: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 w:rsidRPr="00D41461">
        <w:rPr>
          <w:b/>
        </w:rPr>
        <w:t>1. ¿Es viable jurídicamente imponer las sanciones de que tratan los numerales 2, 3 y 4 del literal A del artículo 260-11 del Estatuto Tributario al contribuyente que, antes de la notificación de requerimiento especial o pliego de cargos, opta por corregir voluntariamente la documentación comprobatoria presentada subsanando la inconsistencia o la omisión?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 w:rsidRPr="00D41461">
        <w:rPr>
          <w:b/>
        </w:rP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>Sobre el particular, el numeral 2 del literal A del artículo 260-11 del Estatuto Tributario establece una sanción por inconsistencias en la documentación comprobatoria, “tales como errores en la información, información cuyo contenido no corresponde a lo solicitado, o información que no permite verificar la aplicación del régimen de precios de transferencia”. A su vez, los numerales 3 y 4 del mismo literal instauran sanciones por omisión de información en la documentación comprobatoria “relativa a las operaciones sometidas al régimen de precios de transferencia” y “relativa a operaciones realizadas con personas, sociedades, entidades o empresas ubicadas, residentes o domiciliadas en paraísos fiscales”.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>Concordante a lo anterior, el numeral 5 ibídem dispone la reducción de las sanciones a que se ha hecho referencia “al cincuenta por ciento (50%) de la suma determinada en el pliego de cargos o en el requerimiento especial, según el caso, si las inconsistencias u omisiones son subsanadas por el contribuyente antes de la notificación de la resolución que impone la sanción o de la liquidación oficial de revisión, según el caso” (negrilla fuera de texto).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>Por su parte, el numeral 6 del aludido literal también establece una sanción por corrección de la documentac</w:t>
      </w:r>
      <w:r>
        <w:t>ión comprobatoria “c</w:t>
      </w:r>
      <w:r>
        <w:t>uando, con posterioridad a la notificación del requerimiento especial o del pliego de cargos, según el caso”, el contribuyente corrige el mencionado documento “modificando los métodos para determinar el precio o margen de utilidad, o los criterios de comparabilidad”.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>
        <w:t xml:space="preserve">Luego, advirtiendo que en palabras de la Corte Constitucional, M.P. Dr. EDUARDO CIFUENTES MUÑOZ, en sentencia C-273 de 1999, “las normas que imponen sanciones o que establecen límites a los derechos son de interpretación restrictiva” (negrilla fuera de texto), es de concluir que la posibilidad de imponer las sanciones de que tratan los numerales 2, 3 y 4 del literal A del artículo 260-11 del Estatuto Tributario al contribuyente que, antes de la notificación de requerimiento especial o pliego de cargos, opta por corregir voluntariamente la documentación comprobatoria presentada, subsanando la inconsistencia o la omisión, </w:t>
      </w:r>
      <w:r w:rsidRPr="00D41461">
        <w:rPr>
          <w:b/>
        </w:rPr>
        <w:t>es inviable jurídicamente pues no es dable extender la aplicación de las sanciones a supuestos no contemplados en la ley.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 w:rsidRPr="00D41461">
        <w:rPr>
          <w:b/>
        </w:rPr>
        <w:lastRenderedPageBreak/>
        <w:t xml:space="preserve">La corrección de la documentación comprobatoria únicamente adquiere la posible connotación de infracción tributaria cuando se realiza después de la notificación del requerimiento especial o del pliego de cargos y versa exclusivamente sobre los métodos para determinar el precio o margen de utilidad, o los criterios de comparabilidad, como de manera palmaria lo señala el artículo 260-11 literal A, numeral 6 del Estatuto Tributario y de cuyo tenor literal no es posible separarse acorde con el criterio hermenéutico que dicta el inciso 1º del artículo 27 del </w:t>
      </w:r>
      <w:r w:rsidRPr="00D41461">
        <w:rPr>
          <w:b/>
        </w:rPr>
        <w:t>Código Civil, el cual reza: “c</w:t>
      </w:r>
      <w:r w:rsidRPr="00D41461">
        <w:rPr>
          <w:b/>
        </w:rPr>
        <w:t>uando el sentido de la ley sea claro, no se desatenderá su tenor literal a pretexto de consultar su espíritu”.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 w:rsidRPr="00D41461">
        <w:rPr>
          <w:b/>
        </w:rPr>
        <w:t xml:space="preserve"> 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 w:rsidRPr="00D41461">
        <w:rPr>
          <w:b/>
        </w:rPr>
        <w:t>2. ¿Es viable jurídicamente imponer las sanciones de que tratan los numerales 3 y 4 del literal A del artículo 260-11 del Estatuto Tributario al contribuyente que omitió presentar la documentación comprobatoria?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 w:rsidRPr="00D41461">
        <w:rPr>
          <w:b/>
        </w:rPr>
        <w:t>Conforme la normatividad y jurisprudencia anteriormente reseñada, este Despacho reconoce que la omisión en la presentación del citado documento no es sancionable por vía de los numerales 3 y 4 del literal A del artículo 260-11 del Estatuto Tributario, pues aquellos hacen referencia solamente a la omisión de información en la documentación comprobatoria “relativa a las operaciones sometidas al régimen de precios de transferencia” o “relativa a operaciones realizadas con personas, sociedades, entidades o empresas ubicadas, residentes o domiciliadas en paraísos fiscales”, por lo cual es factible aseverar que la infracción, en estos casos, exige como presupuesto fáctico la presentación de la documentación comprobatoria de manera incompleta.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 w:rsidRPr="00D41461">
        <w:rPr>
          <w:b/>
        </w:rPr>
        <w:t xml:space="preserve"> 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 w:rsidRPr="00D41461">
        <w:rPr>
          <w:b/>
        </w:rPr>
        <w:t>En otras palabras, las sanciones consultadas no pueden aplicarse a la conducta analizada toda vez que, como se desprende del tenor literal de aquellas, la omisión en la presentación de la documentación comprobatoria no es objeto de penalidad.</w:t>
      </w:r>
    </w:p>
    <w:p w:rsidR="00D41461" w:rsidRPr="00D41461" w:rsidRDefault="00D41461" w:rsidP="00D41461">
      <w:pPr>
        <w:spacing w:after="0" w:line="240" w:lineRule="auto"/>
        <w:jc w:val="both"/>
        <w:rPr>
          <w:b/>
        </w:rPr>
      </w:pPr>
      <w:r w:rsidRPr="00D41461">
        <w:rPr>
          <w:b/>
        </w:rP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>Atentamente,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 xml:space="preserve"> </w:t>
      </w:r>
    </w:p>
    <w:p w:rsidR="00D41461" w:rsidRDefault="00D41461" w:rsidP="00D41461">
      <w:pPr>
        <w:spacing w:after="0" w:line="240" w:lineRule="auto"/>
        <w:jc w:val="both"/>
      </w:pPr>
      <w:r>
        <w:t>YUMER YOEL AGUILAR VARGAS</w:t>
      </w:r>
    </w:p>
    <w:p w:rsidR="00D41461" w:rsidRDefault="00D41461" w:rsidP="00D41461">
      <w:pPr>
        <w:spacing w:after="0" w:line="240" w:lineRule="auto"/>
        <w:jc w:val="both"/>
      </w:pPr>
      <w:r>
        <w:t>Subdirector de Gestión Normativa y Doctrina</w:t>
      </w:r>
    </w:p>
    <w:p w:rsidR="00D41461" w:rsidRDefault="00D41461" w:rsidP="00D41461">
      <w:pPr>
        <w:spacing w:after="0" w:line="240" w:lineRule="auto"/>
        <w:jc w:val="both"/>
      </w:pPr>
      <w:r>
        <w:t>_________________________________________________________________________</w:t>
      </w:r>
    </w:p>
    <w:p w:rsidR="00961BFA" w:rsidRDefault="00D41461" w:rsidP="00D41461">
      <w:pPr>
        <w:spacing w:after="0" w:line="240" w:lineRule="auto"/>
        <w:jc w:val="both"/>
      </w:pPr>
      <w:r>
        <w:tab/>
      </w:r>
    </w:p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61"/>
    <w:rsid w:val="0029351E"/>
    <w:rsid w:val="00961BFA"/>
    <w:rsid w:val="00B94BED"/>
    <w:rsid w:val="00D41461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BAA5A9FC-A1FF-4008-8CFC-9649E2A6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2015-05-24T22:32:00Z</dcterms:created>
  <dcterms:modified xsi:type="dcterms:W3CDTF">2015-05-24T22:38:00Z</dcterms:modified>
</cp:coreProperties>
</file>